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SOLICITUD DE INTERVENCIÓN PREVENTIVA PROGRAMAS DAE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la finalidad identificar las problemáticas que afectan el normal desarrollo de las actividades académicas en cada carrera, se requiere que cada Director o Jefe de Carrera indique la situación que se ha presentado, para determinar las acciones específicas y su abordaje preventivo.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motivo de su solicitud</w:t>
      </w:r>
    </w:p>
    <w:tbl>
      <w:tblPr>
        <w:tblStyle w:val="Table1"/>
        <w:tblW w:w="7345.0" w:type="dxa"/>
        <w:jc w:val="left"/>
        <w:tblInd w:w="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44"/>
        <w:gridCol w:w="851"/>
        <w:gridCol w:w="850"/>
        <w:tblGridChange w:id="0">
          <w:tblGrid>
            <w:gridCol w:w="5644"/>
            <w:gridCol w:w="851"/>
            <w:gridCol w:w="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el grupo curso se evidencian dificultades de comunicación y de relación entre compañeros que obstaculizan la asociatividad entre estudiantes para la realización de trabajos en equipo.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jefatura de carrera ha recibido información respecto a un/a estudiante que ha sido mencionado de manera negativa en redes sociales.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Unidad Académica ha recibido información sobre problemáticas de salud mental en las y los estudiantes.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Unidad Académica ha identificado a estudiantes en situación de discapacidad y/o neurodivergentes que no han recibido apoyo por parte de la DAE.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Unidad Académica ha recibido información respecto de situaciones de discriminación al interior de la comunidad estudiantil hacia compañeros o compañeras en situación de discapacidad y/o neurodivergentes.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Unidad Académica ha identificado situaciones de consumo problemático (drogas o alcohol) al interior de la comunidad estudiantil.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Unidad Académica quiere llevar a cabo un espacio de esparcimiento y autocuidado de índole deportiva/recreativa que fomente la participación de las y los estudiantes.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Si ha recibido testimonios de estudiantes descompensados/as emocionalmente por situaciones de convivencia y buen trato entre pares, debe presentar los antecedentes de manera directa al correo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DAE@UV.CL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. Se excluye de esta instancia de apoyo DAE todas las conductas vinculadas al Reglamento Sobre Acoso Sexual, Violencias y Discriminación de Género en la Universidad de Valparaíso indicadas en el Decreto Exento N°786 del año 2023, las cuales son abordadas por la Dirección de Igualdad y Diversidad UV (DID).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OFERTA DE TALLERES DISPONIBLES POR PROGRAMA</w:t>
      </w:r>
    </w:p>
    <w:p w:rsidR="00000000" w:rsidDel="00000000" w:rsidP="00000000" w:rsidRDefault="00000000" w:rsidRPr="00000000" w14:paraId="00000022">
      <w:pPr>
        <w:spacing w:line="276" w:lineRule="auto"/>
        <w:ind w:left="36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Temáticas Programa de Convivencia y Buen Trato</w:t>
      </w:r>
    </w:p>
    <w:p w:rsidR="00000000" w:rsidDel="00000000" w:rsidP="00000000" w:rsidRDefault="00000000" w:rsidRPr="00000000" w14:paraId="00000023">
      <w:pPr>
        <w:spacing w:line="276" w:lineRule="auto"/>
        <w:ind w:left="360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Taller de Comunicación Asertiva: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Desarrollar habilidades de comunicación asertiva para mejorar las relaciones interpersonales y fomentar un ambiente de respeto y comprensión mutua en el entorno.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Taller de Resolución de Conflictos: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Proporcionar herramientas y técnicas efectivas para la identificación, análisis y resolución de conflictos, promoviendo una convivencia colaborativa dentro de la comunidad educativa.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 Taller de Construcción de Equipos: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Fomentar la colaboración entre los estudiantes, desarrollando habilidades de liderazgo, cooperación y trabajo en equipo para alcanzar objetivos comunes.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ind w:left="360" w:firstLine="0"/>
        <w:jc w:val="center"/>
        <w:rPr>
          <w:rFonts w:ascii="Calibri" w:cs="Calibri" w:eastAsia="Calibri" w:hAnsi="Calibri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u w:val="single"/>
          <w:rtl w:val="0"/>
        </w:rPr>
        <w:t xml:space="preserve">Temáticas Grupo Conectados UV 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Rule="auto"/>
        <w:ind w:left="360" w:firstLine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Ansiedad en la Vida Universitaria: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Permitirá conocer factores que provocan ansiedad, en distintas esferas sociales e internas. Además de diferenciar entre ansiedad normal y no normal o patológica, y proporcionar “tips” para sobrellevarla.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Rule="auto"/>
        <w:ind w:left="709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Primeros Auxilios Psicológicos (PAP):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Este conversatorio brinda lineamientos básicos para brindar una primera contención a toda persona que se encuentre atravesando una situación de crisis emocional.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Rule="auto"/>
        <w:ind w:left="709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¿Qué es el Síndrome Burnout?: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Tiene como finalidad conocer aspectos relevantes acerca de este síndrome integralmente, a nivel familiar, social, laboral y académico. Brinda “tips” para identificar sus síntomas.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Rule="auto"/>
        <w:ind w:left="709" w:firstLine="0"/>
        <w:jc w:val="both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Autocuidado y Co-cuidado en Salud Mental: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 Tiene como finalidad identificar factores de riesgo y factores protectores en el diario vivir. Brinda “tips” para preservar una sana salud mental desde una perspectiva de autocuidado y co-cuidado en mi entorno.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Rule="auto"/>
        <w:ind w:left="709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0" w:lineRule="auto"/>
        <w:ind w:left="360" w:firstLine="0"/>
        <w:jc w:val="center"/>
        <w:rPr>
          <w:rFonts w:ascii="Calibri" w:cs="Calibri" w:eastAsia="Calibri" w:hAnsi="Calibri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u w:val="single"/>
          <w:rtl w:val="0"/>
        </w:rPr>
        <w:t xml:space="preserve">Temáticas Programa UV Inclusiva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Rule="auto"/>
        <w:ind w:left="360" w:firstLine="0"/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Star Inclusivo: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Este taller tiene por objetivo entregar orientaciones generales en temáticas de discapacidad, inclusión y neurodivergencia, a través de actividades socio-lúdicas que permitan contribuir a la valoración de la diversidad estudiantil y a la construcción de una cultura universitaria inclusiva. 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u w:val="single"/>
          <w:rtl w:val="0"/>
        </w:rPr>
        <w:t xml:space="preserve">Temáticas Programa Vive UV Saludable</w:t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jc w:val="center"/>
        <w:rPr>
          <w:rFonts w:ascii="Calibri" w:cs="Calibri" w:eastAsia="Calibri" w:hAnsi="Calibri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Reduce el riesgo (prevención de VIH e ITS, y gestión de riesgo en el consumo de sustancias):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El taller consiste en entregar información sobre los tipos de drogas y sus efectos en el organismo, promoción de la gestión de riesgo en el consumo de alcohol y otras sustancias. 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="276" w:lineRule="auto"/>
        <w:ind w:left="720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En cuanto a la prevención de VIH e ITS, se informa a las y los estudiantes sobre esta enfermedad y las distintas ITS. Además, se explica sobre los métodos de prevención de VIH/ITS y se busca promover la gestión de riesgo y prevención de este mismo.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after="0" w:before="280" w:line="276" w:lineRule="auto"/>
        <w:ind w:left="720" w:hanging="36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Orgullosamente diferentes (diversidad sexual y de género):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Aportar elementos conceptuales sobre la diversidad sexual desde un enfoque de Derechos Humanos y la promoción del uso de lenguaje no discriminador. Además, se entregan conceptos clave asociados al enfoque de género, promoviendo la no discriminación.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Con-sentimiento (consentimiento en las relaciones sexo-afectivas):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Se entregan elementos conceptuales sobre el consentimiento, se promueven las relaciones sexo-afectivas seguras y libres de violencia sexual.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single"/>
          <w:shd w:fill="auto" w:val="clear"/>
          <w:vertAlign w:val="baseline"/>
          <w:rtl w:val="0"/>
        </w:rPr>
        <w:t xml:space="preserve">Temáticas Área de deporte y recreación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Activades deportivas, recreativas y de participación que fomenten la vida sana y el cuidado de la salud 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Identificación del/la solicitante: </w:t>
      </w:r>
    </w:p>
    <w:tbl>
      <w:tblPr>
        <w:tblStyle w:val="Table2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820"/>
        <w:tblGridChange w:id="0">
          <w:tblGrid>
            <w:gridCol w:w="4111"/>
            <w:gridCol w:w="4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Cargo y Unidad Académica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Taller solicitado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hd w:fill="ffffff" w:val="clear"/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Disponibilidad Horaria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(Indique al menos 3 fechas tentativas al alero de una asignatura)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080" w:top="108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b="0" l="0" r="0" t="0"/>
          <wp:wrapNone/>
          <wp:docPr descr="Texto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b="0" l="0" r="0" t="0"/>
          <wp:wrapNone/>
          <wp:docPr descr="Logotipo&#10;&#10;Descripción generada automáticamente con confianza media" id="2" name="image2.png"/>
          <a:graphic>
            <a:graphicData uri="http://schemas.openxmlformats.org/drawingml/2006/picture">
              <pic:pic>
                <pic:nvPicPr>
                  <pic:cNvPr descr="Logotipo&#10;&#10;Descripción generada automáticamente con confianza medi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rPr>
        <w:rFonts w:ascii="Calibri" w:cs="Calibri" w:eastAsia="Calibri" w:hAnsi="Calibri"/>
        <w:b w:val="1"/>
        <w:color w:val="003c58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>
        <w:rFonts w:ascii="Calibri" w:cs="Calibri" w:eastAsia="Calibri" w:hAnsi="Calibri"/>
        <w:b w:val="1"/>
        <w:color w:val="003c58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>
        <w:rFonts w:ascii="Calibri" w:cs="Calibri" w:eastAsia="Calibri" w:hAnsi="Calibri"/>
        <w:b w:val="1"/>
        <w:color w:val="003c58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003c58"/>
        <w:sz w:val="16"/>
        <w:szCs w:val="16"/>
        <w:rtl w:val="0"/>
      </w:rPr>
      <w:t xml:space="preserve">Vicerrectoría Académica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3c5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c58"/>
        <w:sz w:val="16"/>
        <w:szCs w:val="16"/>
        <w:u w:val="none"/>
        <w:shd w:fill="auto" w:val="clear"/>
        <w:vertAlign w:val="baseline"/>
        <w:rtl w:val="0"/>
      </w:rPr>
      <w:t xml:space="preserve">Dirección de Asuntos Estudiantiles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b="0" l="0" r="0" t="0"/>
          <wp:wrapNone/>
          <wp:docPr descr="Texto&#10;&#10;Descripción generada automáticamente" id="1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b="0" l="0" r="0" t="0"/>
          <wp:wrapNone/>
          <wp:docPr descr="Logotipo&#10;&#10;Descripción generada automáticamente con confianza media" id="4" name="image2.png"/>
          <a:graphic>
            <a:graphicData uri="http://schemas.openxmlformats.org/drawingml/2006/picture">
              <pic:pic>
                <pic:nvPicPr>
                  <pic:cNvPr descr="Logotipo&#10;&#10;Descripción generada automáticamente con confianza medi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rPr>
        <w:rFonts w:ascii="Calibri" w:cs="Calibri" w:eastAsia="Calibri" w:hAnsi="Calibri"/>
        <w:b w:val="1"/>
        <w:color w:val="003c58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>
        <w:rFonts w:ascii="Calibri" w:cs="Calibri" w:eastAsia="Calibri" w:hAnsi="Calibri"/>
        <w:b w:val="1"/>
        <w:color w:val="003c58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>
        <w:rFonts w:ascii="Calibri" w:cs="Calibri" w:eastAsia="Calibri" w:hAnsi="Calibri"/>
        <w:b w:val="1"/>
        <w:color w:val="003c58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color w:val="003c58"/>
        <w:sz w:val="16"/>
        <w:szCs w:val="16"/>
        <w:rtl w:val="0"/>
      </w:rPr>
      <w:t xml:space="preserve">Vicerrectoría Académica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3c5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c58"/>
        <w:sz w:val="16"/>
        <w:szCs w:val="16"/>
        <w:u w:val="none"/>
        <w:shd w:fill="auto" w:val="clear"/>
        <w:vertAlign w:val="baseline"/>
        <w:rtl w:val="0"/>
      </w:rPr>
      <w:t xml:space="preserve">Dirección de Asuntos Estudiantiles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18"/>
        <w:szCs w:val="18"/>
        <w:lang w:val="es-CL"/>
      </w:rPr>
    </w:rPrDefault>
    <w:pPrDefault>
      <w:pPr>
        <w:spacing w:after="6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before="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before="0" w:line="278.00000000000006" w:lineRule="auto"/>
    </w:pPr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